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3C2" w:rsidRPr="00CC32A7" w:rsidRDefault="00CB305D" w:rsidP="00CC32A7">
      <w:pPr>
        <w:jc w:val="center"/>
        <w:rPr>
          <w:b/>
        </w:rPr>
      </w:pPr>
      <w:r w:rsidRPr="00CC32A7">
        <w:rPr>
          <w:b/>
        </w:rPr>
        <w:t>Nombres numériques?</w:t>
      </w:r>
    </w:p>
    <w:p w:rsidR="00CB305D" w:rsidRPr="00CC32A7" w:rsidRDefault="00CB305D">
      <w:pPr>
        <w:rPr>
          <w:b/>
        </w:rPr>
      </w:pPr>
      <w:r w:rsidRPr="00CC32A7">
        <w:rPr>
          <w:b/>
        </w:rPr>
        <w:t>Introduction</w:t>
      </w:r>
    </w:p>
    <w:p w:rsidR="00CB305D" w:rsidRDefault="00CB305D">
      <w:r>
        <w:t>Ouvrir un interpréteur Python. Nous allons l'utiliser comme une calculatrice. Noter pour chaque calcul le résultat tel qu'il s'affiche à l'écran.</w:t>
      </w:r>
    </w:p>
    <w:p w:rsidR="00CB305D" w:rsidRPr="00CC32A7" w:rsidRDefault="00CB305D" w:rsidP="00CB3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Courier New" w:hAnsi="Courier New" w:cs="Courier New"/>
          <w:sz w:val="20"/>
          <w:szCs w:val="20"/>
        </w:rPr>
      </w:pPr>
      <w:r w:rsidRPr="00CC32A7">
        <w:rPr>
          <w:rFonts w:ascii="Courier New" w:hAnsi="Courier New" w:cs="Courier New"/>
          <w:sz w:val="20"/>
          <w:szCs w:val="20"/>
        </w:rPr>
        <w:t>&gt;&gt;&gt; 5+3</w:t>
      </w:r>
    </w:p>
    <w:p w:rsidR="00CB305D" w:rsidRPr="00CC32A7" w:rsidRDefault="00CB305D" w:rsidP="00CB3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Courier New" w:hAnsi="Courier New" w:cs="Courier New"/>
          <w:sz w:val="20"/>
          <w:szCs w:val="20"/>
        </w:rPr>
      </w:pPr>
      <w:r w:rsidRPr="00CC32A7">
        <w:rPr>
          <w:rFonts w:ascii="Courier New" w:hAnsi="Courier New" w:cs="Courier New"/>
          <w:sz w:val="20"/>
          <w:szCs w:val="20"/>
        </w:rPr>
        <w:t>&gt;&gt;&gt; 2   -   9</w:t>
      </w:r>
      <w:r w:rsidRPr="00CC32A7">
        <w:rPr>
          <w:rFonts w:ascii="Courier New" w:hAnsi="Courier New" w:cs="Courier New"/>
          <w:sz w:val="20"/>
          <w:szCs w:val="20"/>
        </w:rPr>
        <w:tab/>
      </w:r>
      <w:r w:rsidRPr="00CC32A7">
        <w:rPr>
          <w:rFonts w:ascii="Courier New" w:hAnsi="Courier New" w:cs="Courier New"/>
          <w:sz w:val="20"/>
          <w:szCs w:val="20"/>
        </w:rPr>
        <w:tab/>
      </w:r>
    </w:p>
    <w:p w:rsidR="00CB305D" w:rsidRPr="00CC32A7" w:rsidRDefault="00CC32A7" w:rsidP="00CB3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&gt;&gt;&gt; 7 + 3 * 4</w:t>
      </w:r>
      <w:r>
        <w:rPr>
          <w:rFonts w:ascii="Courier New" w:hAnsi="Courier New" w:cs="Courier New"/>
          <w:sz w:val="20"/>
          <w:szCs w:val="20"/>
        </w:rPr>
        <w:tab/>
      </w:r>
      <w:r w:rsidR="00CB305D" w:rsidRPr="00CC32A7">
        <w:rPr>
          <w:rFonts w:ascii="Courier New" w:hAnsi="Courier New" w:cs="Courier New"/>
          <w:sz w:val="20"/>
          <w:szCs w:val="20"/>
        </w:rPr>
        <w:t>#</w:t>
      </w:r>
      <w:r w:rsidR="00CB305D" w:rsidRPr="00CC32A7">
        <w:rPr>
          <w:rFonts w:ascii="Courier New" w:hAnsi="Courier New" w:cs="Courier New"/>
          <w:i/>
          <w:sz w:val="20"/>
          <w:szCs w:val="20"/>
        </w:rPr>
        <w:t xml:space="preserve">les priorités des opérations mathématiques </w:t>
      </w:r>
      <w:proofErr w:type="spellStart"/>
      <w:r w:rsidR="00CB305D" w:rsidRPr="00CC32A7">
        <w:rPr>
          <w:rFonts w:ascii="Courier New" w:hAnsi="Courier New" w:cs="Courier New"/>
          <w:i/>
          <w:sz w:val="20"/>
          <w:szCs w:val="20"/>
        </w:rPr>
        <w:t>sont elles</w:t>
      </w:r>
      <w:proofErr w:type="spellEnd"/>
      <w:r w:rsidR="00CB305D" w:rsidRPr="00CC32A7">
        <w:rPr>
          <w:rFonts w:ascii="Courier New" w:hAnsi="Courier New" w:cs="Courier New"/>
          <w:i/>
          <w:sz w:val="20"/>
          <w:szCs w:val="20"/>
        </w:rPr>
        <w:t xml:space="preserve"> respectée ?</w:t>
      </w:r>
    </w:p>
    <w:p w:rsidR="00CB305D" w:rsidRPr="00CC32A7" w:rsidRDefault="00CB305D" w:rsidP="00CB3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Courier New" w:hAnsi="Courier New" w:cs="Courier New"/>
          <w:i/>
          <w:sz w:val="20"/>
          <w:szCs w:val="20"/>
        </w:rPr>
      </w:pPr>
      <w:r w:rsidRPr="00CC32A7">
        <w:rPr>
          <w:rFonts w:ascii="Courier New" w:hAnsi="Courier New" w:cs="Courier New"/>
          <w:i/>
          <w:sz w:val="20"/>
          <w:szCs w:val="20"/>
        </w:rPr>
        <w:tab/>
      </w:r>
      <w:r w:rsidRPr="00CC32A7">
        <w:rPr>
          <w:rFonts w:ascii="Courier New" w:hAnsi="Courier New" w:cs="Courier New"/>
          <w:i/>
          <w:sz w:val="20"/>
          <w:szCs w:val="20"/>
        </w:rPr>
        <w:tab/>
      </w:r>
      <w:r w:rsidRPr="00CC32A7">
        <w:rPr>
          <w:rFonts w:ascii="Courier New" w:hAnsi="Courier New" w:cs="Courier New"/>
          <w:i/>
          <w:sz w:val="20"/>
          <w:szCs w:val="20"/>
        </w:rPr>
        <w:tab/>
        <w:t>#que faire pour que l’addition soit effectuée en premier ?</w:t>
      </w:r>
    </w:p>
    <w:p w:rsidR="00CB305D" w:rsidRPr="00CC32A7" w:rsidRDefault="00CB305D" w:rsidP="00CB3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ourier New" w:hAnsi="Courier New" w:cs="Courier New"/>
          <w:sz w:val="20"/>
          <w:szCs w:val="20"/>
        </w:rPr>
      </w:pPr>
      <w:r w:rsidRPr="00CC32A7">
        <w:rPr>
          <w:rFonts w:ascii="Courier New" w:hAnsi="Courier New" w:cs="Courier New"/>
          <w:sz w:val="20"/>
          <w:szCs w:val="20"/>
        </w:rPr>
        <w:t>&gt;&gt;&gt; 20 / 3</w:t>
      </w:r>
      <w:r w:rsidRPr="00CC32A7">
        <w:rPr>
          <w:rFonts w:ascii="Courier New" w:hAnsi="Courier New" w:cs="Courier New"/>
          <w:sz w:val="20"/>
          <w:szCs w:val="20"/>
        </w:rPr>
        <w:tab/>
      </w:r>
      <w:r w:rsidRPr="00CC32A7">
        <w:rPr>
          <w:rFonts w:ascii="Courier New" w:hAnsi="Courier New" w:cs="Courier New"/>
          <w:sz w:val="20"/>
          <w:szCs w:val="20"/>
        </w:rPr>
        <w:tab/>
        <w:t>#</w:t>
      </w:r>
      <w:r w:rsidRPr="00CC32A7">
        <w:rPr>
          <w:rFonts w:ascii="Courier New" w:hAnsi="Courier New" w:cs="Courier New"/>
          <w:i/>
          <w:sz w:val="20"/>
          <w:szCs w:val="20"/>
        </w:rPr>
        <w:t>était-ce ce que vous attendiez ?</w:t>
      </w:r>
    </w:p>
    <w:p w:rsidR="00CB305D" w:rsidRDefault="00CC32A7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25EFA83" wp14:editId="50BD5273">
            <wp:simplePos x="0" y="0"/>
            <wp:positionH relativeFrom="column">
              <wp:posOffset>4006850</wp:posOffset>
            </wp:positionH>
            <wp:positionV relativeFrom="paragraph">
              <wp:posOffset>300355</wp:posOffset>
            </wp:positionV>
            <wp:extent cx="2703830" cy="2311400"/>
            <wp:effectExtent l="0" t="0" r="1270" b="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5D">
        <w:t>Quels types de nombres connaissez</w:t>
      </w:r>
      <w:r w:rsidR="00A069D7">
        <w:t>-</w:t>
      </w:r>
      <w:r w:rsidR="00CB305D">
        <w:t xml:space="preserve">vous en mathématiques? </w:t>
      </w:r>
      <w:r w:rsidR="00A069D7">
        <w:t xml:space="preserve">Quels types de nombres </w:t>
      </w:r>
      <w:proofErr w:type="gramStart"/>
      <w:r w:rsidR="00A069D7">
        <w:t>semble</w:t>
      </w:r>
      <w:proofErr w:type="gramEnd"/>
      <w:r w:rsidR="00A069D7">
        <w:t xml:space="preserve"> connaître la machine?</w:t>
      </w:r>
    </w:p>
    <w:p w:rsidR="00A069D7" w:rsidRPr="00A069D7" w:rsidRDefault="00A069D7"/>
    <w:p w:rsidR="00A069D7" w:rsidRDefault="00A069D7" w:rsidP="00CC32A7">
      <w:pPr>
        <w:spacing w:after="0"/>
      </w:pPr>
      <w:r w:rsidRPr="00A069D7">
        <w:t>On souhaite calculer des puissances et des racines</w:t>
      </w:r>
      <w:r>
        <w:t>.</w:t>
      </w:r>
    </w:p>
    <w:p w:rsidR="00A069D7" w:rsidRDefault="00A069D7">
      <w:r>
        <w:t xml:space="preserve">Comment </w:t>
      </w:r>
      <w:proofErr w:type="spellStart"/>
      <w:r>
        <w:t>essayez vous</w:t>
      </w:r>
      <w:proofErr w:type="spellEnd"/>
      <w:r>
        <w:t xml:space="preserve"> de faire calculer </w:t>
      </w:r>
      <w:r>
        <w:rPr>
          <w:rFonts w:ascii="Times New Roman" w:hAnsi="Times New Roman"/>
          <w:sz w:val="24"/>
          <w:szCs w:val="24"/>
        </w:rPr>
        <w:t>2</w:t>
      </w:r>
      <w:r w:rsidRPr="00894258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t xml:space="preserve">et </w:t>
      </w:r>
      <w:r>
        <w:rPr>
          <w:rFonts w:ascii="Times New Roman" w:hAnsi="Times New Roman"/>
          <w:sz w:val="24"/>
          <w:szCs w:val="24"/>
        </w:rPr>
        <w:t xml:space="preserve">√2 </w:t>
      </w:r>
      <w:r>
        <w:t>?</w:t>
      </w:r>
    </w:p>
    <w:p w:rsidR="00A069D7" w:rsidRDefault="00A069D7"/>
    <w:p w:rsidR="00CC32A7" w:rsidRDefault="00CC32A7"/>
    <w:p w:rsidR="00CC32A7" w:rsidRPr="00CC32A7" w:rsidRDefault="00CC32A7" w:rsidP="00CC32A7">
      <w:pPr>
        <w:rPr>
          <w:b/>
        </w:rPr>
      </w:pPr>
      <w:r w:rsidRPr="00CC32A7">
        <w:t>Calculer √2 </w:t>
      </w:r>
      <w:r w:rsidRPr="00CC32A7">
        <w:rPr>
          <w:vertAlign w:val="superscript"/>
        </w:rPr>
        <w:t>2</w:t>
      </w:r>
      <w:r w:rsidRPr="00CC32A7">
        <w:t xml:space="preserve">? Que </w:t>
      </w:r>
      <w:proofErr w:type="spellStart"/>
      <w:proofErr w:type="gramStart"/>
      <w:r w:rsidRPr="00CC32A7">
        <w:t>constatez vous</w:t>
      </w:r>
      <w:proofErr w:type="spellEnd"/>
      <w:proofErr w:type="gramEnd"/>
      <w:r w:rsidRPr="00CC32A7">
        <w:t> ?</w:t>
      </w:r>
    </w:p>
    <w:p w:rsidR="00CC32A7" w:rsidRDefault="00CC32A7"/>
    <w:p w:rsidR="00A069D7" w:rsidRDefault="00A069D7"/>
    <w:p w:rsidR="00CC32A7" w:rsidRPr="00CD5E83" w:rsidRDefault="00CC32A7">
      <w:pPr>
        <w:rPr>
          <w:color w:val="FF0000"/>
        </w:rPr>
      </w:pPr>
      <w:r w:rsidRPr="00CD5E83">
        <w:rPr>
          <w:color w:val="FF0000"/>
        </w:rPr>
        <w:t xml:space="preserve">L'ordinateur ne connait que deux principaux types de nombres: les entiers et les "flottants" (nombres à virgule flottante). Il ne manipule les nombres non-entiers qu'avec une précision limitée. Il ne comprend pas ce qu'est </w:t>
      </w:r>
      <w:r w:rsidRPr="00CD5E83">
        <w:rPr>
          <w:rFonts w:ascii="Times New Roman" w:hAnsi="Times New Roman"/>
          <w:color w:val="FF0000"/>
          <w:sz w:val="24"/>
          <w:szCs w:val="24"/>
        </w:rPr>
        <w:t>√2</w:t>
      </w:r>
      <w:r w:rsidRPr="00CD5E83">
        <w:rPr>
          <w:color w:val="FF0000"/>
        </w:rPr>
        <w:t xml:space="preserve"> mais en fournit une valeur approchée. Cette </w:t>
      </w:r>
      <w:r w:rsidR="00CD5E83" w:rsidRPr="00CD5E83">
        <w:rPr>
          <w:color w:val="FF0000"/>
        </w:rPr>
        <w:t>erreur d'</w:t>
      </w:r>
      <w:r w:rsidRPr="00CD5E83">
        <w:rPr>
          <w:color w:val="FF0000"/>
        </w:rPr>
        <w:t xml:space="preserve">approximation </w:t>
      </w:r>
      <w:r w:rsidR="00CD5E83" w:rsidRPr="00CD5E83">
        <w:rPr>
          <w:color w:val="FF0000"/>
        </w:rPr>
        <w:t xml:space="preserve">peut se propager dans les calculs. </w:t>
      </w:r>
    </w:p>
    <w:p w:rsidR="00CC32A7" w:rsidRPr="00CB635A" w:rsidRDefault="00CC32A7">
      <w:pPr>
        <w:rPr>
          <w:b/>
        </w:rPr>
      </w:pPr>
      <w:r w:rsidRPr="00CB635A">
        <w:rPr>
          <w:b/>
        </w:rPr>
        <w:t>Nombres entiers en binaire</w:t>
      </w:r>
    </w:p>
    <w:p w:rsidR="00CD5E83" w:rsidRPr="00CD5E83" w:rsidRDefault="00CD5E83" w:rsidP="00CD5E83">
      <w:pPr>
        <w:autoSpaceDE w:val="0"/>
        <w:autoSpaceDN w:val="0"/>
        <w:adjustRightInd w:val="0"/>
        <w:spacing w:after="0" w:line="240" w:lineRule="auto"/>
        <w:rPr>
          <w:rFonts w:cs="SFRM1095"/>
        </w:rPr>
      </w:pPr>
      <w:r w:rsidRPr="00CD5E83">
        <w:rPr>
          <w:rFonts w:cs="SFRM1095"/>
        </w:rPr>
        <w:t>Nous comptons habituellement avec 10 symboles (de 0 à 9), parce que nous avons 10 doigts. Cela</w:t>
      </w:r>
      <w:r>
        <w:rPr>
          <w:rFonts w:cs="SFRM1095"/>
        </w:rPr>
        <w:t xml:space="preserve"> </w:t>
      </w:r>
      <w:r w:rsidRPr="00CD5E83">
        <w:rPr>
          <w:rFonts w:cs="SFRM1095"/>
        </w:rPr>
        <w:t>n’a historiquement pas toujours été le cas (il existe des systèmes à 12, 20 chiffres ou 60, c’est joli car</w:t>
      </w:r>
      <w:r>
        <w:rPr>
          <w:rFonts w:cs="SFRM1095"/>
        </w:rPr>
        <w:t xml:space="preserve"> </w:t>
      </w:r>
      <w:r w:rsidRPr="00CD5E83">
        <w:rPr>
          <w:rFonts w:cs="SFRM1095"/>
        </w:rPr>
        <w:t>c’est divisible par 2, 3, 4, 5, et 6, voire plus complexe comme le système romain).</w:t>
      </w:r>
    </w:p>
    <w:p w:rsidR="00CC32A7" w:rsidRDefault="00CD5E83" w:rsidP="00CD5E83">
      <w:pPr>
        <w:autoSpaceDE w:val="0"/>
        <w:autoSpaceDN w:val="0"/>
        <w:adjustRightInd w:val="0"/>
        <w:spacing w:after="0" w:line="240" w:lineRule="auto"/>
        <w:rPr>
          <w:rFonts w:cs="SFRM1095"/>
        </w:rPr>
      </w:pPr>
      <w:r w:rsidRPr="00CD5E83">
        <w:rPr>
          <w:rFonts w:cs="SFRM1095"/>
        </w:rPr>
        <w:t xml:space="preserve">L’ordinateur n’a pas de doigts. </w:t>
      </w:r>
      <w:r>
        <w:rPr>
          <w:rFonts w:cs="SFRM1095"/>
        </w:rPr>
        <w:t xml:space="preserve">Les ordinateurs à l'heure actuelle sont basés sur l'électronique. Ils sont </w:t>
      </w:r>
      <w:r w:rsidRPr="00CD5E83">
        <w:rPr>
          <w:rFonts w:cs="SFRM1095"/>
        </w:rPr>
        <w:t>composé</w:t>
      </w:r>
      <w:r>
        <w:rPr>
          <w:rFonts w:cs="SFRM1095"/>
        </w:rPr>
        <w:t>s</w:t>
      </w:r>
      <w:r w:rsidRPr="00CD5E83">
        <w:rPr>
          <w:rFonts w:cs="SFRM1095"/>
        </w:rPr>
        <w:t xml:space="preserve"> de fils dans lesquels il y a du courant (ou plutôt</w:t>
      </w:r>
      <w:r>
        <w:rPr>
          <w:rFonts w:cs="SFRM1095"/>
        </w:rPr>
        <w:t xml:space="preserve"> </w:t>
      </w:r>
      <w:r w:rsidRPr="00CD5E83">
        <w:rPr>
          <w:rFonts w:cs="SFRM1095"/>
        </w:rPr>
        <w:t xml:space="preserve">de la tension) (1) ou pas (0). </w:t>
      </w:r>
      <w:r>
        <w:rPr>
          <w:rFonts w:cs="SFRM1095"/>
        </w:rPr>
        <w:t>Ils n'ont</w:t>
      </w:r>
      <w:r w:rsidRPr="00CD5E83">
        <w:rPr>
          <w:rFonts w:cs="SFRM1095"/>
        </w:rPr>
        <w:t xml:space="preserve"> donc à </w:t>
      </w:r>
      <w:r>
        <w:rPr>
          <w:rFonts w:cs="SFRM1095"/>
        </w:rPr>
        <w:t>leur</w:t>
      </w:r>
      <w:r w:rsidRPr="00CD5E83">
        <w:rPr>
          <w:rFonts w:cs="SFRM1095"/>
        </w:rPr>
        <w:t xml:space="preserve"> dispos</w:t>
      </w:r>
      <w:r>
        <w:rPr>
          <w:rFonts w:cs="SFRM1095"/>
        </w:rPr>
        <w:t xml:space="preserve">ition que deux symboles 0 et 1. Cet élément élémentaire d'information est appelé BIT (abréviation de </w:t>
      </w:r>
      <w:proofErr w:type="spellStart"/>
      <w:r>
        <w:rPr>
          <w:rFonts w:cs="SFRM1095"/>
        </w:rPr>
        <w:t>Binary</w:t>
      </w:r>
      <w:proofErr w:type="spellEnd"/>
      <w:r>
        <w:rPr>
          <w:rFonts w:cs="SFRM1095"/>
        </w:rPr>
        <w:t xml:space="preserve"> Digit).</w:t>
      </w: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</w:p>
    <w:p w:rsidR="007C1761" w:rsidRDefault="007C1761" w:rsidP="00CB635A">
      <w:pPr>
        <w:autoSpaceDE w:val="0"/>
        <w:autoSpaceDN w:val="0"/>
        <w:adjustRightInd w:val="0"/>
        <w:spacing w:line="240" w:lineRule="auto"/>
      </w:pPr>
      <w:r>
        <w:t>Comment écrire un nombre comme 23 en binaire?</w:t>
      </w: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  <w:r>
        <w:t xml:space="preserve">en décimal </w:t>
      </w:r>
      <w:proofErr w:type="gramStart"/>
      <w:r>
        <w:t>:  1789</w:t>
      </w:r>
      <w:proofErr w:type="gramEnd"/>
      <w:r>
        <w:t xml:space="preserve">  signifie 1 x 1000 + 7x100 + 8x10 + 9x1</w:t>
      </w: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  <w:r>
        <w:t xml:space="preserve">On </w:t>
      </w:r>
      <w:r w:rsidR="00CB635A">
        <w:t>accole</w:t>
      </w:r>
      <w:r>
        <w:t xml:space="preserve"> des chiffres (entre 0 et 9) qui correspondent aux puissances de 10.</w:t>
      </w: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  <w:r>
        <w:t xml:space="preserve">en binaire, on va accoler des chiffres </w:t>
      </w:r>
      <w:proofErr w:type="gramStart"/>
      <w:r>
        <w:t>( …</w:t>
      </w:r>
      <w:proofErr w:type="gramEnd"/>
      <w:r>
        <w:t xml:space="preserve"> ou …) qui correspondront aux puissances de …</w:t>
      </w: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  <w:r>
        <w:t>Compléter le tableau suivant des puissances de 2</w:t>
      </w:r>
      <w:r w:rsidR="00CB635A">
        <w:t xml:space="preserve"> puis compléter la ligne correspondant à la décomposition de 23</w:t>
      </w:r>
      <w:r>
        <w:t>.</w:t>
      </w:r>
    </w:p>
    <w:p w:rsidR="007C1761" w:rsidRDefault="007C1761" w:rsidP="00CD5E83">
      <w:pPr>
        <w:autoSpaceDE w:val="0"/>
        <w:autoSpaceDN w:val="0"/>
        <w:adjustRightInd w:val="0"/>
        <w:spacing w:after="0" w:line="240" w:lineRule="auto"/>
      </w:pPr>
    </w:p>
    <w:tbl>
      <w:tblPr>
        <w:tblStyle w:val="Grilledutableau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4"/>
        <w:gridCol w:w="1063"/>
        <w:gridCol w:w="1063"/>
        <w:gridCol w:w="1063"/>
        <w:gridCol w:w="1064"/>
        <w:gridCol w:w="2268"/>
      </w:tblGrid>
      <w:tr w:rsidR="00CB635A" w:rsidTr="00CB635A">
        <w:trPr>
          <w:jc w:val="center"/>
        </w:trPr>
        <w:tc>
          <w:tcPr>
            <w:tcW w:w="1063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…</m:t>
                    </m:r>
                  </m:sup>
                </m:sSup>
                <m:r>
                  <w:rPr>
                    <w:rFonts w:ascii="Cambria Math" w:hAnsi="Cambria Math"/>
                  </w:rPr>
                  <m:t>=…</m:t>
                </m:r>
              </m:oMath>
            </m:oMathPara>
          </w:p>
        </w:tc>
        <w:tc>
          <w:tcPr>
            <w:tcW w:w="1063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…</m:t>
                    </m:r>
                  </m:sup>
                </m:sSup>
                <m:r>
                  <w:rPr>
                    <w:rFonts w:ascii="Cambria Math" w:hAnsi="Cambria Math"/>
                  </w:rPr>
                  <m:t>=…</m:t>
                </m:r>
              </m:oMath>
            </m:oMathPara>
          </w:p>
        </w:tc>
        <w:tc>
          <w:tcPr>
            <w:tcW w:w="1063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…</m:t>
                    </m:r>
                  </m:sup>
                </m:sSup>
                <m:r>
                  <w:rPr>
                    <w:rFonts w:ascii="Cambria Math" w:hAnsi="Cambria Math"/>
                  </w:rPr>
                  <m:t>=…</m:t>
                </m:r>
              </m:oMath>
            </m:oMathPara>
          </w:p>
        </w:tc>
        <w:tc>
          <w:tcPr>
            <w:tcW w:w="1064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…</m:t>
                    </m:r>
                  </m:sup>
                </m:sSup>
                <m:r>
                  <w:rPr>
                    <w:rFonts w:ascii="Cambria Math" w:hAnsi="Cambria Math"/>
                  </w:rPr>
                  <m:t>=…</m:t>
                </m:r>
              </m:oMath>
            </m:oMathPara>
          </w:p>
        </w:tc>
        <w:tc>
          <w:tcPr>
            <w:tcW w:w="1063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…</m:t>
                    </m:r>
                  </m:sup>
                </m:sSup>
                <m:r>
                  <w:rPr>
                    <w:rFonts w:ascii="Cambria Math" w:hAnsi="Cambria Math"/>
                  </w:rPr>
                  <m:t>=…</m:t>
                </m:r>
              </m:oMath>
            </m:oMathPara>
          </w:p>
        </w:tc>
        <w:tc>
          <w:tcPr>
            <w:tcW w:w="1063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=…</m:t>
                </m:r>
              </m:oMath>
            </m:oMathPara>
          </w:p>
        </w:tc>
        <w:tc>
          <w:tcPr>
            <w:tcW w:w="1063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</w:rPr>
                  <m:t>=2</m:t>
                </m:r>
              </m:oMath>
            </m:oMathPara>
          </w:p>
        </w:tc>
        <w:tc>
          <w:tcPr>
            <w:tcW w:w="1064" w:type="dxa"/>
          </w:tcPr>
          <w:p w:rsidR="007C1761" w:rsidRDefault="00AC0DB8" w:rsidP="00CB635A">
            <w:pPr>
              <w:autoSpaceDE w:val="0"/>
              <w:autoSpaceDN w:val="0"/>
              <w:adjustRightInd w:val="0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  <w:tc>
          <w:tcPr>
            <w:tcW w:w="2268" w:type="dxa"/>
          </w:tcPr>
          <w:p w:rsidR="007C1761" w:rsidRDefault="007C1761" w:rsidP="00CB635A">
            <w:pPr>
              <w:autoSpaceDE w:val="0"/>
              <w:autoSpaceDN w:val="0"/>
              <w:adjustRightInd w:val="0"/>
              <w:jc w:val="center"/>
            </w:pPr>
            <w:r>
              <w:t>Nombre décimal</w:t>
            </w:r>
          </w:p>
        </w:tc>
      </w:tr>
      <w:tr w:rsidR="00CB635A" w:rsidTr="00CB635A">
        <w:trPr>
          <w:jc w:val="center"/>
        </w:trPr>
        <w:tc>
          <w:tcPr>
            <w:tcW w:w="1063" w:type="dxa"/>
          </w:tcPr>
          <w:p w:rsidR="007C1761" w:rsidRDefault="007C1761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7C1761" w:rsidRDefault="007C1761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7C1761" w:rsidRDefault="007C1761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7C1761" w:rsidRDefault="00CB635A" w:rsidP="00CB63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7C1761" w:rsidRDefault="00CB635A" w:rsidP="00CB635A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63" w:type="dxa"/>
          </w:tcPr>
          <w:p w:rsidR="007C1761" w:rsidRDefault="00CB635A" w:rsidP="00CB63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3" w:type="dxa"/>
          </w:tcPr>
          <w:p w:rsidR="007C1761" w:rsidRDefault="00CB635A" w:rsidP="00CB63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7C1761" w:rsidRDefault="00CB635A" w:rsidP="00CB635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C1761" w:rsidRDefault="00CB635A" w:rsidP="00CB635A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</w:p>
        </w:tc>
      </w:tr>
      <w:tr w:rsidR="00CB635A" w:rsidTr="00CB635A">
        <w:trPr>
          <w:jc w:val="center"/>
        </w:trPr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35A" w:rsidTr="00CB635A">
        <w:trPr>
          <w:jc w:val="center"/>
        </w:trPr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35A" w:rsidTr="00CB635A">
        <w:trPr>
          <w:jc w:val="center"/>
        </w:trPr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35A" w:rsidTr="00CB635A">
        <w:trPr>
          <w:jc w:val="center"/>
        </w:trPr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</w:tr>
      <w:tr w:rsidR="00CB635A" w:rsidTr="00CB635A">
        <w:trPr>
          <w:jc w:val="center"/>
        </w:trPr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3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64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</w:tcPr>
          <w:p w:rsidR="00CB635A" w:rsidRDefault="00CB635A" w:rsidP="00CB635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  <w:proofErr w:type="gramStart"/>
      <w:r>
        <w:lastRenderedPageBreak/>
        <w:t>décomposer</w:t>
      </w:r>
      <w:proofErr w:type="gramEnd"/>
      <w:r>
        <w:t xml:space="preserve"> en binaire </w:t>
      </w: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  <w:r>
        <w:t>(36</w:t>
      </w:r>
      <w:proofErr w:type="gramStart"/>
      <w:r>
        <w:t>)</w:t>
      </w:r>
      <w:r w:rsidRPr="00C16CD9">
        <w:rPr>
          <w:vertAlign w:val="subscript"/>
        </w:rPr>
        <w:t>d</w:t>
      </w:r>
      <w:proofErr w:type="gramEnd"/>
      <w:r>
        <w:t xml:space="preserve"> = </w:t>
      </w:r>
      <w:r>
        <w:tab/>
      </w:r>
      <w:r>
        <w:tab/>
      </w:r>
      <w:r>
        <w:tab/>
      </w:r>
      <w:r>
        <w:tab/>
      </w:r>
      <w:r>
        <w:tab/>
        <w:t>(153)</w:t>
      </w:r>
      <w:r w:rsidRPr="00C16CD9">
        <w:rPr>
          <w:vertAlign w:val="subscript"/>
        </w:rPr>
        <w:t>d</w:t>
      </w:r>
      <w:r>
        <w:t xml:space="preserve"> =</w:t>
      </w:r>
      <w:r>
        <w:tab/>
      </w:r>
      <w:r>
        <w:tab/>
      </w:r>
      <w:r>
        <w:tab/>
      </w:r>
      <w:r>
        <w:tab/>
      </w:r>
      <w:r>
        <w:tab/>
        <w:t>(88)</w:t>
      </w:r>
      <w:r w:rsidRPr="00C16CD9">
        <w:rPr>
          <w:vertAlign w:val="subscript"/>
        </w:rPr>
        <w:t>d</w:t>
      </w:r>
      <w:r>
        <w:t xml:space="preserve"> =</w:t>
      </w: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  <w:proofErr w:type="gramStart"/>
      <w:r>
        <w:t>retrouver</w:t>
      </w:r>
      <w:proofErr w:type="gramEnd"/>
      <w:r>
        <w:t xml:space="preserve"> la valeur décimale de:</w:t>
      </w: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  <w:r>
        <w:t>(00110110</w:t>
      </w:r>
      <w:proofErr w:type="gramStart"/>
      <w:r>
        <w:t>)</w:t>
      </w:r>
      <w:r w:rsidRPr="00C16CD9">
        <w:rPr>
          <w:vertAlign w:val="subscript"/>
        </w:rPr>
        <w:t>b</w:t>
      </w:r>
      <w:proofErr w:type="gramEnd"/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(10110011)</w:t>
      </w:r>
      <w:r w:rsidRPr="00C16CD9">
        <w:rPr>
          <w:vertAlign w:val="subscript"/>
        </w:rPr>
        <w:t>b</w:t>
      </w:r>
      <w:r>
        <w:t xml:space="preserve"> =</w:t>
      </w: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</w:p>
    <w:p w:rsidR="007C1761" w:rsidRDefault="00CB635A" w:rsidP="00CD5E83">
      <w:pPr>
        <w:autoSpaceDE w:val="0"/>
        <w:autoSpaceDN w:val="0"/>
        <w:adjustRightInd w:val="0"/>
        <w:spacing w:after="0" w:line="240" w:lineRule="auto"/>
      </w:pPr>
      <w:r>
        <w:t>Pourquoi a-t-on mis 8 colonnes?</w:t>
      </w:r>
    </w:p>
    <w:p w:rsidR="00CB635A" w:rsidRPr="00C16CD9" w:rsidRDefault="00CB635A" w:rsidP="00CD5E83">
      <w:pPr>
        <w:autoSpaceDE w:val="0"/>
        <w:autoSpaceDN w:val="0"/>
        <w:adjustRightInd w:val="0"/>
        <w:spacing w:after="0" w:line="240" w:lineRule="auto"/>
        <w:rPr>
          <w:color w:val="00B050"/>
        </w:rPr>
      </w:pPr>
      <w:r w:rsidRPr="00C16CD9">
        <w:rPr>
          <w:color w:val="00B050"/>
        </w:rPr>
        <w:t xml:space="preserve">Pour des raisons d'efficacité de traitement, les bits ont très vite été regroupés. </w:t>
      </w:r>
      <w:r w:rsidRPr="00C16CD9">
        <w:rPr>
          <w:color w:val="FF0000"/>
        </w:rPr>
        <w:t>Une association de 8 bits s'appelle un octet</w:t>
      </w:r>
      <w:r w:rsidRPr="00C16CD9">
        <w:rPr>
          <w:color w:val="00B050"/>
        </w:rPr>
        <w:t xml:space="preserve"> (attention, cela se dit byte en anglais). Les ordinateurs actuels ont des processeurs 64 bits (32 bits pour les ordinateurs un peu moi</w:t>
      </w:r>
      <w:r w:rsidR="00C16CD9" w:rsidRPr="00C16CD9">
        <w:rPr>
          <w:color w:val="00B050"/>
        </w:rPr>
        <w:t>ns performants/récents) ce qui signifie qu'un "mot" élémentaire pour notre ordinateur comprend 8 (ou 4 octets). L'humain continue de les représenter par octet pour des raisons de lisibilité.</w:t>
      </w: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  <w:r>
        <w:t xml:space="preserve">Quel est le plus petit et le plus grand nombre que l'on peut écrire avec 8 chiffres en binaire? Combien de nombres </w:t>
      </w:r>
      <w:proofErr w:type="spellStart"/>
      <w:proofErr w:type="gramStart"/>
      <w:r>
        <w:t>peut on</w:t>
      </w:r>
      <w:proofErr w:type="spellEnd"/>
      <w:proofErr w:type="gramEnd"/>
      <w:r>
        <w:t xml:space="preserve"> représenter en tout?</w:t>
      </w:r>
    </w:p>
    <w:p w:rsidR="00CB635A" w:rsidRPr="00893AA7" w:rsidRDefault="00C16CD9" w:rsidP="00CD5E83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r w:rsidRPr="00893AA7">
        <w:rPr>
          <w:color w:val="FF0000"/>
        </w:rPr>
        <w:t xml:space="preserve">Avec un octet on peut représenter tous </w:t>
      </w:r>
      <w:proofErr w:type="spellStart"/>
      <w:r w:rsidRPr="00893AA7">
        <w:rPr>
          <w:color w:val="FF0000"/>
        </w:rPr>
        <w:t>els</w:t>
      </w:r>
      <w:proofErr w:type="spellEnd"/>
      <w:r w:rsidRPr="00893AA7">
        <w:rPr>
          <w:color w:val="FF0000"/>
        </w:rPr>
        <w:t xml:space="preserve"> nombres entre 0 et 255 (255 = 128 + 64 + 32 +16 +8 +4 +2 +1). Cela représente 256 nombres possibles.</w:t>
      </w:r>
    </w:p>
    <w:p w:rsidR="00CB635A" w:rsidRDefault="00CB635A" w:rsidP="00CD5E83">
      <w:pPr>
        <w:autoSpaceDE w:val="0"/>
        <w:autoSpaceDN w:val="0"/>
        <w:adjustRightInd w:val="0"/>
        <w:spacing w:after="0" w:line="240" w:lineRule="auto"/>
      </w:pPr>
    </w:p>
    <w:p w:rsidR="00C16CD9" w:rsidRDefault="00C16CD9" w:rsidP="00CD5E83">
      <w:pPr>
        <w:autoSpaceDE w:val="0"/>
        <w:autoSpaceDN w:val="0"/>
        <w:adjustRightInd w:val="0"/>
        <w:spacing w:after="0" w:line="240" w:lineRule="auto"/>
      </w:pPr>
      <w:proofErr w:type="gramStart"/>
      <w:r w:rsidRPr="00893AA7">
        <w:rPr>
          <w:i/>
        </w:rPr>
        <w:t>remarque</w:t>
      </w:r>
      <w:proofErr w:type="gramEnd"/>
      <w:r w:rsidRPr="00893AA7">
        <w:rPr>
          <w:i/>
        </w:rPr>
        <w:t>:</w:t>
      </w:r>
      <w:r>
        <w:t xml:space="preserve"> les opérations classiques additions, soustractions, multiplications et divisions </w:t>
      </w:r>
      <w:r w:rsidR="00893AA7">
        <w:t>s'appuient sur</w:t>
      </w:r>
      <w:r>
        <w:t xml:space="preserve"> les mêmes algorithmes en binaire et en décimal. </w:t>
      </w:r>
      <w:r w:rsidR="00893AA7">
        <w:t>On peut remarquer que les tables de multiplication sont minimales (0x0=0, 0x1=1 et 1x1=</w:t>
      </w:r>
      <w:proofErr w:type="gramStart"/>
      <w:r w:rsidR="00893AA7">
        <w:t>1 )</w:t>
      </w:r>
      <w:proofErr w:type="gramEnd"/>
    </w:p>
    <w:p w:rsidR="00C16CD9" w:rsidRDefault="00893AA7" w:rsidP="00CD5E83">
      <w:pPr>
        <w:autoSpaceDE w:val="0"/>
        <w:autoSpaceDN w:val="0"/>
        <w:adjustRightInd w:val="0"/>
        <w:spacing w:after="0" w:line="240" w:lineRule="auto"/>
      </w:pPr>
      <w:r>
        <w:t>Il existe aussi de drôles d'opérations dites bit à bit comme le ET (AND il faut que les deux bits comparés vaillent 1 pour que le résultat soit 1, sinon c'est 0), le OU (OR, il faut que l'un au moins des deux bits vaille 1 pour que le résultat soit 1) et le OU exclusif (XOR, si les deux bits sont identiques c'est 0, s'ils sont différents c'est 1).</w:t>
      </w:r>
    </w:p>
    <w:p w:rsidR="00893AA7" w:rsidRDefault="00893AA7" w:rsidP="00CD5E83">
      <w:pPr>
        <w:autoSpaceDE w:val="0"/>
        <w:autoSpaceDN w:val="0"/>
        <w:adjustRightInd w:val="0"/>
        <w:spacing w:after="0" w:line="240" w:lineRule="auto"/>
      </w:pPr>
      <w:r>
        <w:t>Le résultat étonnant 2^3=1 de Python tient au fait que le symbole ^ en Python est associé à l'opération XOR.</w:t>
      </w:r>
    </w:p>
    <w:p w:rsidR="00893AA7" w:rsidRDefault="00893AA7" w:rsidP="00CD5E83">
      <w:pPr>
        <w:autoSpaceDE w:val="0"/>
        <w:autoSpaceDN w:val="0"/>
        <w:adjustRightInd w:val="0"/>
        <w:spacing w:after="0" w:line="240" w:lineRule="auto"/>
      </w:pPr>
    </w:p>
    <w:p w:rsidR="00893AA7" w:rsidRDefault="006A25E2" w:rsidP="00CD5E83">
      <w:pPr>
        <w:autoSpaceDE w:val="0"/>
        <w:autoSpaceDN w:val="0"/>
        <w:adjustRightInd w:val="0"/>
        <w:spacing w:after="0" w:line="240" w:lineRule="auto"/>
      </w:pPr>
      <w:r>
        <w:rPr>
          <w:noProof/>
          <w:lang w:eastAsia="fr-FR"/>
        </w:rPr>
        <w:drawing>
          <wp:inline distT="0" distB="0" distL="0" distR="0">
            <wp:extent cx="2096135" cy="88011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</w:p>
    <w:p w:rsidR="006A25E2" w:rsidRPr="006C71C0" w:rsidRDefault="006A25E2" w:rsidP="00CD5E83">
      <w:pPr>
        <w:autoSpaceDE w:val="0"/>
        <w:autoSpaceDN w:val="0"/>
        <w:adjustRightInd w:val="0"/>
        <w:spacing w:after="0" w:line="240" w:lineRule="auto"/>
        <w:rPr>
          <w:b/>
        </w:rPr>
      </w:pPr>
      <w:r w:rsidRPr="006C71C0">
        <w:rPr>
          <w:b/>
        </w:rPr>
        <w:t>Nombres flottants</w:t>
      </w: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  <w:r>
        <w:t>Lorsque nous écrivons un nombre décimal comme 0,125 cela signifie :</w:t>
      </w: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  <w:r>
        <w:t>0,125 = 0 + 1x1/10 + 2x1/100 + 5x1/1000 = 0 + 1x10</w:t>
      </w:r>
      <w:r w:rsidRPr="006A25E2">
        <w:rPr>
          <w:vertAlign w:val="superscript"/>
        </w:rPr>
        <w:t>-1</w:t>
      </w:r>
      <w:r>
        <w:t xml:space="preserve"> + 2x10</w:t>
      </w:r>
      <w:r w:rsidRPr="006A25E2">
        <w:rPr>
          <w:vertAlign w:val="superscript"/>
        </w:rPr>
        <w:t>-2</w:t>
      </w:r>
      <w:r>
        <w:t>+ 5x10</w:t>
      </w:r>
      <w:r w:rsidRPr="006A25E2">
        <w:rPr>
          <w:vertAlign w:val="superscript"/>
        </w:rPr>
        <w:t>-3</w:t>
      </w: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  <w:r>
        <w:t>De la même manière, les nombres "flottant" sont représentés dans la machine par leur décomposition suivant les puissances de 2 négatives.</w:t>
      </w: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  <w:r>
        <w:t>par exemple : 0,125 = 0 + 0x1/2 + 0x1/4 + 1x 1/8 =</w:t>
      </w:r>
      <w:r w:rsidR="005E6D7B">
        <w:t xml:space="preserve"> 0+ 0x</w:t>
      </w:r>
      <w:r w:rsidR="005E6D7B">
        <w:t>1/2</w:t>
      </w:r>
      <w:r w:rsidR="005E6D7B">
        <w:rPr>
          <w:vertAlign w:val="superscript"/>
        </w:rPr>
        <w:t>1</w:t>
      </w:r>
      <w:r w:rsidR="005E6D7B">
        <w:t xml:space="preserve"> </w:t>
      </w:r>
      <w:r w:rsidR="005E6D7B">
        <w:t xml:space="preserve">+0x </w:t>
      </w:r>
      <w:r w:rsidR="005E6D7B">
        <w:t>1/2</w:t>
      </w:r>
      <w:r w:rsidR="005E6D7B">
        <w:rPr>
          <w:vertAlign w:val="superscript"/>
        </w:rPr>
        <w:t>2</w:t>
      </w:r>
      <w:r w:rsidR="005E6D7B">
        <w:t xml:space="preserve"> </w:t>
      </w:r>
      <w:r w:rsidR="005E6D7B">
        <w:t>+ 1x</w:t>
      </w:r>
      <w:r>
        <w:t>1/2</w:t>
      </w:r>
      <w:r w:rsidRPr="006A25E2">
        <w:rPr>
          <w:vertAlign w:val="superscript"/>
        </w:rPr>
        <w:t>3</w:t>
      </w:r>
      <w:r>
        <w:t xml:space="preserve"> </w:t>
      </w:r>
      <w:r w:rsidR="005E6D7B">
        <w:t xml:space="preserve">  </w:t>
      </w:r>
      <w:r>
        <w:t>s'écrit</w:t>
      </w:r>
      <w:r w:rsidR="005E6D7B">
        <w:t xml:space="preserve">  </w:t>
      </w:r>
      <w:r>
        <w:t xml:space="preserve"> (0,001</w:t>
      </w:r>
      <w:proofErr w:type="gramStart"/>
      <w:r>
        <w:t>)b</w:t>
      </w:r>
      <w:proofErr w:type="gramEnd"/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</w:p>
    <w:p w:rsidR="006A25E2" w:rsidRDefault="006A25E2" w:rsidP="00CD5E83">
      <w:pPr>
        <w:autoSpaceDE w:val="0"/>
        <w:autoSpaceDN w:val="0"/>
        <w:adjustRightInd w:val="0"/>
        <w:spacing w:after="0" w:line="240" w:lineRule="auto"/>
      </w:pPr>
      <w:r>
        <w:t>De même que dans le système décimal, certains nombres n'ont pas d'écriture décimale finie comme 1/3</w:t>
      </w:r>
      <w:r w:rsidR="006C71C0">
        <w:t xml:space="preserve"> (≈0,3333…) ou trop longue pour être recopiée, dans le système </w:t>
      </w:r>
      <w:r w:rsidR="00AC0DB8">
        <w:t>binaire</w:t>
      </w:r>
      <w:r w:rsidR="006C71C0">
        <w:t xml:space="preserve">, </w:t>
      </w:r>
      <w:r w:rsidR="00AC0DB8">
        <w:t>certains</w:t>
      </w:r>
      <w:r w:rsidR="006C71C0">
        <w:t xml:space="preserve"> nombres n'ont pas de représentation binaire finie (ou </w:t>
      </w:r>
      <w:r w:rsidR="00AC0DB8">
        <w:t>suffisamment</w:t>
      </w:r>
      <w:r w:rsidR="006C71C0">
        <w:t xml:space="preserve"> courte pour être encodée).</w:t>
      </w:r>
    </w:p>
    <w:p w:rsidR="006C71C0" w:rsidRDefault="006C71C0" w:rsidP="00CD5E83">
      <w:pPr>
        <w:autoSpaceDE w:val="0"/>
        <w:autoSpaceDN w:val="0"/>
        <w:adjustRightInd w:val="0"/>
        <w:spacing w:after="0" w:line="240" w:lineRule="auto"/>
      </w:pPr>
      <w:r>
        <w:t>C'est le cas de (0,1</w:t>
      </w:r>
      <w:proofErr w:type="gramStart"/>
      <w:r>
        <w:t>)</w:t>
      </w:r>
      <w:r w:rsidRPr="006C71C0">
        <w:rPr>
          <w:vertAlign w:val="subscript"/>
        </w:rPr>
        <w:t>d</w:t>
      </w:r>
      <w:proofErr w:type="gramEnd"/>
      <w:r>
        <w:t xml:space="preserve"> = (</w:t>
      </w:r>
      <w:r w:rsidRPr="006C71C0">
        <w:t>0.0001100110011001100110011001100110011001100110011...</w:t>
      </w:r>
      <w:r>
        <w:t>)</w:t>
      </w:r>
      <w:proofErr w:type="gramStart"/>
      <w:r w:rsidRPr="006C71C0">
        <w:rPr>
          <w:vertAlign w:val="subscript"/>
        </w:rPr>
        <w:t>b</w:t>
      </w:r>
      <w:proofErr w:type="gramEnd"/>
    </w:p>
    <w:p w:rsidR="006C71C0" w:rsidRDefault="006C71C0" w:rsidP="00CD5E83">
      <w:pPr>
        <w:autoSpaceDE w:val="0"/>
        <w:autoSpaceDN w:val="0"/>
        <w:adjustRightInd w:val="0"/>
        <w:spacing w:after="0" w:line="240" w:lineRule="auto"/>
      </w:pPr>
      <w:r>
        <w:t>Les langages de programmation réservent une place fixe et limitée pour encoder chaque nombre flottant. Ils ne stockent donc pas vraiment 0,1 mais une approximation.</w:t>
      </w:r>
      <w:r w:rsidR="007444F9">
        <w:t xml:space="preserve"> Pour voir laquelle, retourner sur l'interpréteur Python:</w:t>
      </w: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</w:p>
    <w:p w:rsidR="007444F9" w:rsidRDefault="007444F9" w:rsidP="007444F9">
      <w:pPr>
        <w:autoSpaceDE w:val="0"/>
        <w:autoSpaceDN w:val="0"/>
        <w:adjustRightInd w:val="0"/>
        <w:spacing w:line="240" w:lineRule="auto"/>
      </w:pPr>
      <w:r>
        <w:rPr>
          <w:noProof/>
          <w:lang w:eastAsia="fr-FR"/>
        </w:rPr>
        <w:drawing>
          <wp:inline distT="0" distB="0" distL="0" distR="0" wp14:anchorId="2AC55376" wp14:editId="6F1FB014">
            <wp:extent cx="2458720" cy="42291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  <w:r>
        <w:t>Vérifier quelle est la valeur stockée pour 0,125 et pour 0.2 ?</w:t>
      </w: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  <w:r>
        <w:t>Calculer 0.1+0.2</w:t>
      </w: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  <w:proofErr w:type="spellStart"/>
      <w:proofErr w:type="gramStart"/>
      <w:r>
        <w:t>Comprenez vous</w:t>
      </w:r>
      <w:proofErr w:type="spellEnd"/>
      <w:proofErr w:type="gramEnd"/>
      <w:r>
        <w:t xml:space="preserve"> d'où vient la bizarrerie?</w:t>
      </w: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  <w:r>
        <w:t>Comme beaucoup d'utilisateurs n'ont pas besoin de plus de précisions, les erreurs d'approximations sont masquées en n'affichant que les premières décimales. Mais parfois, l'erreur se propage jusqu'à être visible.</w:t>
      </w:r>
    </w:p>
    <w:p w:rsidR="007444F9" w:rsidRDefault="007444F9" w:rsidP="00CD5E83">
      <w:pPr>
        <w:autoSpaceDE w:val="0"/>
        <w:autoSpaceDN w:val="0"/>
        <w:adjustRightInd w:val="0"/>
        <w:spacing w:after="0" w:line="240" w:lineRule="auto"/>
      </w:pPr>
    </w:p>
    <w:p w:rsidR="007444F9" w:rsidRPr="00833F3D" w:rsidRDefault="00AC0DB8" w:rsidP="00CD5E83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lastRenderedPageBreak/>
        <w:t>Q</w:t>
      </w:r>
      <w:r w:rsidR="007444F9" w:rsidRPr="00833F3D">
        <w:rPr>
          <w:b/>
        </w:rPr>
        <w:t>uel est le plus grand nombre que l'on peut représenter?</w:t>
      </w:r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</w:p>
    <w:p w:rsidR="00833F3D" w:rsidRDefault="00833F3D" w:rsidP="00AC0DB8">
      <w:pPr>
        <w:autoSpaceDE w:val="0"/>
        <w:autoSpaceDN w:val="0"/>
        <w:adjustRightInd w:val="0"/>
        <w:spacing w:line="240" w:lineRule="auto"/>
      </w:pPr>
      <w:r>
        <w:t>On donne le script Python suivant.</w:t>
      </w:r>
    </w:p>
    <w:p w:rsidR="00833F3D" w:rsidRDefault="00833F3D" w:rsidP="00AC0DB8">
      <w:pPr>
        <w:autoSpaceDE w:val="0"/>
        <w:autoSpaceDN w:val="0"/>
        <w:adjustRightInd w:val="0"/>
        <w:spacing w:line="240" w:lineRule="auto"/>
      </w:pPr>
      <w:r>
        <w:rPr>
          <w:noProof/>
          <w:lang w:eastAsia="fr-FR"/>
        </w:rPr>
        <w:drawing>
          <wp:inline distT="0" distB="0" distL="0" distR="0" wp14:anchorId="1A9DE9CF" wp14:editId="371F647F">
            <wp:extent cx="3114040" cy="81978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  <w:r>
        <w:t>Le recopier et l'exécuter</w:t>
      </w:r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  <w:r>
        <w:t>Exprimer la valeur de a en fonction de i</w:t>
      </w:r>
      <w:r>
        <w:tab/>
      </w:r>
      <w:r>
        <w:tab/>
      </w:r>
      <w:r>
        <w:tab/>
      </w:r>
      <w:r w:rsidRPr="00833F3D">
        <w:rPr>
          <w:color w:val="FF0000"/>
        </w:rPr>
        <w:t xml:space="preserve">  </w:t>
      </w:r>
      <m:oMath>
        <m:r>
          <w:rPr>
            <w:rFonts w:ascii="Cambria Math" w:hAnsi="Cambria Math"/>
            <w:color w:val="FF0000"/>
          </w:rPr>
          <m:t>a=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i</m:t>
                </m:r>
              </m:sup>
            </m:sSup>
          </m:sup>
        </m:sSup>
      </m:oMath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  <w:r>
        <w:t xml:space="preserve">Quel est le type de la variable a? </w:t>
      </w:r>
      <w:r>
        <w:tab/>
      </w:r>
      <w:proofErr w:type="gramStart"/>
      <w:r w:rsidRPr="00833F3D">
        <w:rPr>
          <w:color w:val="FF0000"/>
        </w:rPr>
        <w:t>entier</w:t>
      </w:r>
      <w:proofErr w:type="gramEnd"/>
    </w:p>
    <w:p w:rsidR="00AC0DB8" w:rsidRDefault="00833F3D" w:rsidP="00CD5E83">
      <w:pPr>
        <w:autoSpaceDE w:val="0"/>
        <w:autoSpaceDN w:val="0"/>
        <w:adjustRightInd w:val="0"/>
        <w:spacing w:after="0" w:line="240" w:lineRule="auto"/>
      </w:pPr>
      <w:r>
        <w:t>Modifier le code pour faire afficher les termes jusqu'au</w:t>
      </w:r>
      <w:r w:rsidR="00AC0DB8">
        <w:t xml:space="preserve"> numéro 15. Que </w:t>
      </w:r>
      <w:proofErr w:type="spellStart"/>
      <w:proofErr w:type="gramStart"/>
      <w:r w:rsidR="00AC0DB8">
        <w:t>constatez vous</w:t>
      </w:r>
      <w:proofErr w:type="gramEnd"/>
      <w:r w:rsidR="00AC0DB8">
        <w:t>?</w:t>
      </w:r>
      <w:proofErr w:type="spellEnd"/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  <w:r w:rsidRPr="00833F3D">
        <w:rPr>
          <w:color w:val="FF0000"/>
        </w:rPr>
        <w:t xml:space="preserve">Les nombres entiers sont très grands, peu lisibles. Les résultats sont exacts et rapide (si on voit un ralentissement c'est du à l'affichage, mais pas au calcul en </w:t>
      </w:r>
      <w:proofErr w:type="spellStart"/>
      <w:r w:rsidRPr="00833F3D">
        <w:rPr>
          <w:color w:val="FF0000"/>
        </w:rPr>
        <w:t>lui même</w:t>
      </w:r>
      <w:proofErr w:type="spellEnd"/>
      <w:r w:rsidRPr="00833F3D">
        <w:rPr>
          <w:color w:val="FF0000"/>
        </w:rPr>
        <w:t xml:space="preserve">) </w:t>
      </w:r>
    </w:p>
    <w:p w:rsidR="00AC0DB8" w:rsidRDefault="00AC0DB8" w:rsidP="00CD5E83">
      <w:pPr>
        <w:autoSpaceDE w:val="0"/>
        <w:autoSpaceDN w:val="0"/>
        <w:adjustRightInd w:val="0"/>
        <w:spacing w:after="0" w:line="240" w:lineRule="auto"/>
      </w:pPr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t>Si on avait initialisé a par a=2.0</w:t>
      </w:r>
    </w:p>
    <w:p w:rsidR="00833F3D" w:rsidRDefault="00833F3D" w:rsidP="00833F3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quel aurait été le type de a? </w:t>
      </w:r>
      <w:r>
        <w:tab/>
        <w:t xml:space="preserve"> </w:t>
      </w:r>
      <w:r w:rsidRPr="00833F3D">
        <w:rPr>
          <w:color w:val="FF0000"/>
        </w:rPr>
        <w:t>flottant</w:t>
      </w:r>
    </w:p>
    <w:p w:rsidR="00833F3D" w:rsidRDefault="00833F3D" w:rsidP="00833F3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Que </w:t>
      </w:r>
      <w:proofErr w:type="spellStart"/>
      <w:proofErr w:type="gramStart"/>
      <w:r>
        <w:t>constatez vous</w:t>
      </w:r>
      <w:proofErr w:type="spellEnd"/>
      <w:proofErr w:type="gramEnd"/>
      <w:r>
        <w:t>?</w:t>
      </w:r>
      <w:r>
        <w:tab/>
        <w:t xml:space="preserve">ça plafonne </w:t>
      </w:r>
      <w:proofErr w:type="gramStart"/>
      <w:r>
        <w:t xml:space="preserve">à </w:t>
      </w:r>
      <w:proofErr w:type="gramEnd"/>
      <m:oMath>
        <m:r>
          <w:rPr>
            <w:rFonts w:ascii="Cambria Math" w:hAnsi="Cambria Math"/>
            <w:color w:val="FF0000"/>
          </w:rPr>
          <m:t>a=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2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10</m:t>
                </m:r>
              </m:sup>
            </m:sSup>
          </m:sup>
        </m:sSup>
      </m:oMath>
      <w:r>
        <w:rPr>
          <w:rFonts w:eastAsiaTheme="minorEastAsia"/>
          <w:color w:val="FF0000"/>
        </w:rPr>
        <w:t>, après c'est trop grand pour être encodé</w:t>
      </w:r>
    </w:p>
    <w:p w:rsidR="00833F3D" w:rsidRDefault="00833F3D" w:rsidP="00CD5E83">
      <w:pPr>
        <w:autoSpaceDE w:val="0"/>
        <w:autoSpaceDN w:val="0"/>
        <w:adjustRightInd w:val="0"/>
        <w:spacing w:after="0" w:line="240" w:lineRule="auto"/>
      </w:pPr>
    </w:p>
    <w:p w:rsidR="00CD5E83" w:rsidRPr="00F62187" w:rsidRDefault="00F62187" w:rsidP="00CD5E83">
      <w:pPr>
        <w:autoSpaceDE w:val="0"/>
        <w:autoSpaceDN w:val="0"/>
        <w:adjustRightInd w:val="0"/>
        <w:spacing w:after="0" w:line="240" w:lineRule="auto"/>
        <w:rPr>
          <w:color w:val="FF0000"/>
        </w:rPr>
      </w:pPr>
      <w:proofErr w:type="spellStart"/>
      <w:r w:rsidRPr="00F62187">
        <w:rPr>
          <w:color w:val="FF0000"/>
        </w:rPr>
        <w:t>video</w:t>
      </w:r>
      <w:proofErr w:type="spellEnd"/>
      <w:r w:rsidRPr="00F62187">
        <w:rPr>
          <w:color w:val="FF0000"/>
        </w:rPr>
        <w:t xml:space="preserve"> </w:t>
      </w:r>
      <w:r w:rsidR="007C1761">
        <w:rPr>
          <w:color w:val="FF0000"/>
        </w:rPr>
        <w:t xml:space="preserve">synthèse </w:t>
      </w:r>
      <w:r w:rsidRPr="00F62187">
        <w:rPr>
          <w:color w:val="FF0000"/>
        </w:rPr>
        <w:t xml:space="preserve">sur le binaire du MOOC SNT partie S </w:t>
      </w:r>
      <w:proofErr w:type="spellStart"/>
      <w:r w:rsidRPr="00F62187">
        <w:rPr>
          <w:color w:val="FF0000"/>
        </w:rPr>
        <w:t>telechargeable</w:t>
      </w:r>
      <w:proofErr w:type="spellEnd"/>
      <w:r w:rsidR="007C1761">
        <w:rPr>
          <w:color w:val="FF0000"/>
        </w:rPr>
        <w:t>, projetable</w:t>
      </w:r>
      <w:r>
        <w:rPr>
          <w:color w:val="FF0000"/>
        </w:rPr>
        <w:t xml:space="preserve"> </w:t>
      </w:r>
      <w:r w:rsidR="007C1761">
        <w:rPr>
          <w:color w:val="FF0000"/>
        </w:rPr>
        <w:t xml:space="preserve">en </w:t>
      </w:r>
      <w:proofErr w:type="spellStart"/>
      <w:r w:rsidR="007C1761">
        <w:rPr>
          <w:color w:val="FF0000"/>
        </w:rPr>
        <w:t>selectionnant</w:t>
      </w:r>
      <w:proofErr w:type="spellEnd"/>
      <w:r w:rsidR="007C1761">
        <w:rPr>
          <w:color w:val="FF0000"/>
        </w:rPr>
        <w:t xml:space="preserve"> les bon</w:t>
      </w:r>
      <w:r w:rsidR="00833F3D">
        <w:rPr>
          <w:color w:val="FF0000"/>
        </w:rPr>
        <w:t>s</w:t>
      </w:r>
      <w:r w:rsidR="007C1761">
        <w:rPr>
          <w:color w:val="FF0000"/>
        </w:rPr>
        <w:t xml:space="preserve"> morceaux</w:t>
      </w:r>
    </w:p>
    <w:p w:rsidR="00F62187" w:rsidRDefault="00F62187" w:rsidP="00CD5E83">
      <w:pPr>
        <w:autoSpaceDE w:val="0"/>
        <w:autoSpaceDN w:val="0"/>
        <w:adjustRightInd w:val="0"/>
        <w:spacing w:after="0" w:line="240" w:lineRule="auto"/>
      </w:pPr>
    </w:p>
    <w:p w:rsidR="00F62187" w:rsidRPr="00CD5E83" w:rsidRDefault="00F62187" w:rsidP="00CD5E83">
      <w:pPr>
        <w:autoSpaceDE w:val="0"/>
        <w:autoSpaceDN w:val="0"/>
        <w:adjustRightInd w:val="0"/>
        <w:spacing w:after="0" w:line="240" w:lineRule="auto"/>
      </w:pPr>
    </w:p>
    <w:sectPr w:rsidR="00F62187" w:rsidRPr="00CD5E83" w:rsidSect="00CB3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RM109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640"/>
    <w:multiLevelType w:val="hybridMultilevel"/>
    <w:tmpl w:val="1A963A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5D"/>
    <w:rsid w:val="000843C2"/>
    <w:rsid w:val="005E6D7B"/>
    <w:rsid w:val="006A25E2"/>
    <w:rsid w:val="006C71C0"/>
    <w:rsid w:val="007444F9"/>
    <w:rsid w:val="007C1761"/>
    <w:rsid w:val="00833F3D"/>
    <w:rsid w:val="00893AA7"/>
    <w:rsid w:val="00A069D7"/>
    <w:rsid w:val="00AC0DB8"/>
    <w:rsid w:val="00C16CD9"/>
    <w:rsid w:val="00CB305D"/>
    <w:rsid w:val="00CB635A"/>
    <w:rsid w:val="00CC32A7"/>
    <w:rsid w:val="00CD5E83"/>
    <w:rsid w:val="00E47F92"/>
    <w:rsid w:val="00F6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9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635A"/>
    <w:rPr>
      <w:color w:val="808080"/>
    </w:rPr>
  </w:style>
  <w:style w:type="paragraph" w:styleId="Paragraphedeliste">
    <w:name w:val="List Paragraph"/>
    <w:basedOn w:val="Normal"/>
    <w:uiPriority w:val="34"/>
    <w:qFormat/>
    <w:rsid w:val="00833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6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69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C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B635A"/>
    <w:rPr>
      <w:color w:val="808080"/>
    </w:rPr>
  </w:style>
  <w:style w:type="paragraph" w:styleId="Paragraphedeliste">
    <w:name w:val="List Paragraph"/>
    <w:basedOn w:val="Normal"/>
    <w:uiPriority w:val="34"/>
    <w:qFormat/>
    <w:rsid w:val="00833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900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</dc:creator>
  <cp:lastModifiedBy>Angé</cp:lastModifiedBy>
  <cp:revision>5</cp:revision>
  <cp:lastPrinted>2019-05-15T09:27:00Z</cp:lastPrinted>
  <dcterms:created xsi:type="dcterms:W3CDTF">2019-05-15T06:57:00Z</dcterms:created>
  <dcterms:modified xsi:type="dcterms:W3CDTF">2019-05-15T09:42:00Z</dcterms:modified>
</cp:coreProperties>
</file>